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796" w:rsidRDefault="00962796" w:rsidP="006B2FC9">
      <w:pPr>
        <w:pStyle w:val="Heading1"/>
        <w:spacing w:before="0" w:after="0"/>
        <w:ind w:left="482"/>
        <w:jc w:val="center"/>
        <w:rPr>
          <w:color w:val="2F5496"/>
          <w:sz w:val="28"/>
        </w:rPr>
      </w:pPr>
      <w:r>
        <w:rPr>
          <w:color w:val="2F5496"/>
          <w:sz w:val="28"/>
        </w:rPr>
        <w:t>Événement parallèle conjoint du Groupe des États d’Afrique, des Caraïbes et du Pacifique (ACP) et de la Communauté du Pacifique (SPC) :</w:t>
      </w:r>
    </w:p>
    <w:p w:rsidR="00962796" w:rsidRPr="00555D42" w:rsidRDefault="00962796" w:rsidP="00962796">
      <w:pPr>
        <w:rPr>
          <w:lang w:eastAsia="x-none"/>
        </w:rPr>
      </w:pPr>
    </w:p>
    <w:p w:rsidR="006B2FC9" w:rsidRPr="00962796" w:rsidRDefault="001467F7" w:rsidP="006B2FC9">
      <w:pPr>
        <w:pStyle w:val="Heading1"/>
        <w:spacing w:before="0" w:after="0"/>
        <w:ind w:left="482"/>
        <w:jc w:val="center"/>
        <w:rPr>
          <w:color w:val="2F5496"/>
          <w:sz w:val="28"/>
        </w:rPr>
      </w:pPr>
      <w:r>
        <w:rPr>
          <w:color w:val="2F5496"/>
          <w:sz w:val="28"/>
        </w:rPr>
        <w:t xml:space="preserve">Présentation du « Rapport spécial sur les océans et la cryosphère dans le contexte des changements climatiques (SROCC) – Implications et prochaines étapes pour les petits États insulaires, États côtiers et régions de faible élévation ACP » </w:t>
      </w:r>
    </w:p>
    <w:p w:rsidR="008D5493" w:rsidRPr="00555D42" w:rsidRDefault="008D5493" w:rsidP="008D5493">
      <w:pPr>
        <w:rPr>
          <w:lang w:eastAsia="x-none"/>
        </w:rPr>
      </w:pPr>
    </w:p>
    <w:p w:rsidR="008D5493" w:rsidRPr="00962796" w:rsidRDefault="003256F2" w:rsidP="008D5493">
      <w:pPr>
        <w:jc w:val="center"/>
        <w:rPr>
          <w:rFonts w:ascii="Calibri" w:eastAsia="Times New Roman" w:hAnsi="Calibri" w:cs="Times New Roman"/>
          <w:b/>
          <w:bCs/>
          <w:color w:val="2F5496"/>
          <w:sz w:val="28"/>
          <w:szCs w:val="28"/>
        </w:rPr>
      </w:pPr>
      <w:r>
        <w:rPr>
          <w:rFonts w:ascii="Calibri" w:hAnsi="Calibri"/>
          <w:b/>
          <w:bCs/>
          <w:color w:val="2F5496"/>
          <w:sz w:val="28"/>
          <w:szCs w:val="28"/>
        </w:rPr>
        <w:t>4 décembre 2019, 13h45 - 14h45, Madrid (Espagne)</w:t>
      </w:r>
    </w:p>
    <w:p w:rsidR="008D5493" w:rsidRPr="00962796" w:rsidRDefault="008D5493" w:rsidP="008D5493">
      <w:pPr>
        <w:jc w:val="center"/>
        <w:rPr>
          <w:rFonts w:ascii="Calibri" w:eastAsia="Times New Roman" w:hAnsi="Calibri" w:cs="Times New Roman"/>
          <w:b/>
          <w:bCs/>
          <w:color w:val="2F5496"/>
          <w:sz w:val="28"/>
          <w:szCs w:val="28"/>
        </w:rPr>
      </w:pPr>
      <w:r>
        <w:rPr>
          <w:rFonts w:ascii="Calibri" w:hAnsi="Calibri"/>
          <w:b/>
          <w:bCs/>
          <w:color w:val="2F5496"/>
          <w:sz w:val="28"/>
          <w:szCs w:val="28"/>
        </w:rPr>
        <w:t>Pavillon Moana Blue Pacific, Parc des expositions IFEMA</w:t>
      </w:r>
    </w:p>
    <w:p w:rsidR="006B2FC9" w:rsidRPr="00962796" w:rsidRDefault="006B2FC9" w:rsidP="008D5493">
      <w:pPr>
        <w:jc w:val="center"/>
        <w:rPr>
          <w:rFonts w:ascii="Calibri" w:eastAsia="Times New Roman" w:hAnsi="Calibri" w:cs="Times New Roman"/>
          <w:b/>
          <w:bCs/>
          <w:color w:val="2F5496"/>
          <w:sz w:val="28"/>
          <w:szCs w:val="28"/>
          <w:lang w:val="x-none" w:eastAsia="x-none"/>
        </w:rPr>
      </w:pPr>
    </w:p>
    <w:p w:rsidR="006B2FC9" w:rsidRPr="00962796" w:rsidRDefault="006B2FC9" w:rsidP="00321F9F">
      <w:pPr>
        <w:pStyle w:val="Heading1"/>
        <w:spacing w:before="0" w:after="0"/>
        <w:ind w:left="482"/>
        <w:jc w:val="center"/>
        <w:rPr>
          <w:color w:val="2F5496"/>
          <w:sz w:val="28"/>
        </w:rPr>
      </w:pPr>
      <w:r>
        <w:rPr>
          <w:color w:val="2F5496"/>
          <w:sz w:val="28"/>
        </w:rPr>
        <w:t>NOTE DE CONCEPT</w:t>
      </w:r>
    </w:p>
    <w:p w:rsidR="00321F9F" w:rsidRPr="00321F9F" w:rsidRDefault="00321F9F" w:rsidP="00321F9F">
      <w:pPr>
        <w:rPr>
          <w:lang w:val="x-none" w:eastAsia="x-none"/>
        </w:rPr>
      </w:pPr>
    </w:p>
    <w:p w:rsidR="006B2FC9" w:rsidRDefault="006B2FC9" w:rsidP="006B2FC9">
      <w:pPr>
        <w:pStyle w:val="Heading1"/>
        <w:spacing w:before="0" w:after="0"/>
        <w:rPr>
          <w:color w:val="44546A" w:themeColor="text2"/>
        </w:rPr>
      </w:pPr>
      <w:r>
        <w:rPr>
          <w:color w:val="44546A" w:themeColor="text2"/>
        </w:rPr>
        <w:t>Contexte</w:t>
      </w:r>
    </w:p>
    <w:p w:rsidR="001467F7" w:rsidRPr="00555D42" w:rsidRDefault="001467F7" w:rsidP="001467F7">
      <w:pPr>
        <w:rPr>
          <w:highlight w:val="yellow"/>
          <w:lang w:eastAsia="x-none"/>
        </w:rPr>
      </w:pPr>
    </w:p>
    <w:p w:rsidR="007F258C" w:rsidRPr="005C0E10" w:rsidRDefault="00A80B96" w:rsidP="00A80B96">
      <w:pPr>
        <w:jc w:val="both"/>
        <w:rPr>
          <w:i/>
          <w:iCs/>
        </w:rPr>
      </w:pPr>
      <w:r>
        <w:t xml:space="preserve">En préparation à la COP25, le Secrétariat ACP a organisé une réunion extraordinaire du sous-comité le 23 octobre 2019 à Bruxelles, afin de débattre des questions prioritaires ACP en prélude à la COP25. Le principal résultat de la réunion a été le </w:t>
      </w:r>
      <w:r>
        <w:rPr>
          <w:i/>
          <w:iCs/>
        </w:rPr>
        <w:t>Document de synthèse ACP sur la conférence du Chili sur le changement climatique (COP25).</w:t>
      </w:r>
    </w:p>
    <w:p w:rsidR="007F258C" w:rsidRDefault="00A80B96" w:rsidP="00A80B96">
      <w:pPr>
        <w:jc w:val="both"/>
      </w:pPr>
      <w:r>
        <w:t xml:space="preserve"> </w:t>
      </w:r>
    </w:p>
    <w:p w:rsidR="00A80B96" w:rsidRPr="005C0E10" w:rsidRDefault="00A80B96" w:rsidP="00A80B96">
      <w:pPr>
        <w:jc w:val="both"/>
      </w:pPr>
      <w:r>
        <w:t>Ce Document traite des questions examinées par la COP, notamment l’atténuation, l’adaptation, les moyens de mise en œuvre et les résultats escomptés de la COP 25.</w:t>
      </w:r>
    </w:p>
    <w:p w:rsidR="007F258C" w:rsidRPr="005C0E10" w:rsidRDefault="007F258C" w:rsidP="007F258C">
      <w:pPr>
        <w:jc w:val="both"/>
      </w:pPr>
      <w:r>
        <w:t>Il permettra aux États membres ACP d’adopter une position commune pendant les négociations de la COP25 à Madrid (Espagne).</w:t>
      </w:r>
    </w:p>
    <w:p w:rsidR="007F258C" w:rsidRPr="00555D42" w:rsidRDefault="007F258C" w:rsidP="00A80B96">
      <w:pPr>
        <w:jc w:val="both"/>
        <w:rPr>
          <w:lang w:eastAsia="x-none"/>
        </w:rPr>
      </w:pPr>
    </w:p>
    <w:p w:rsidR="00803F49" w:rsidRPr="00803F49" w:rsidRDefault="00803F49" w:rsidP="00A80B96">
      <w:pPr>
        <w:jc w:val="both"/>
      </w:pPr>
      <w:r>
        <w:t xml:space="preserve">Le document souligne l’importance de la science dans l’élaboration des politiques et, ainsi, de l’appui fourni aux rapports du GIEC, entre autres. Le </w:t>
      </w:r>
      <w:r>
        <w:rPr>
          <w:i/>
          <w:iCs/>
        </w:rPr>
        <w:t>Rapport spécial du GIEC sur les océans et la cryosphère dans le contexte des changements climatiques</w:t>
      </w:r>
      <w:r>
        <w:t>, publié en octobre 2019, est d’une importance capitale pour cet événement parallèle. Il y est écrit que « à cause du changement climatique, les océans sont plus chauds, d’où la prolifération de sargasses, mais aussi plus acides et moins productifs. Les glaciers et calottes polaires, ainsi que les régions montagneuses fondent, causant ainsi la hausse du niveau de la mer ».</w:t>
      </w:r>
      <w:r>
        <w:rPr>
          <w:rStyle w:val="FootnoteReference"/>
          <w:lang w:eastAsia="x-none"/>
        </w:rPr>
        <w:footnoteReference w:id="1"/>
      </w:r>
      <w:r>
        <w:t xml:space="preserve"> </w:t>
      </w:r>
    </w:p>
    <w:p w:rsidR="001467F7" w:rsidRPr="00555D42" w:rsidRDefault="001467F7" w:rsidP="001467F7">
      <w:pPr>
        <w:rPr>
          <w:highlight w:val="yellow"/>
          <w:lang w:eastAsia="x-none"/>
        </w:rPr>
      </w:pPr>
    </w:p>
    <w:p w:rsidR="008D5493" w:rsidRDefault="007F258C" w:rsidP="0079474B">
      <w:pPr>
        <w:jc w:val="both"/>
      </w:pPr>
      <w:r>
        <w:t>Dans ce contexte, le Secrétariat du Groupe des États ACP organise un événement parallèle en marge de la vingt-cinquième session de la Conférence des Parties (COP25) à la Convention-cadre des Nations unies sur les changements climatiques (CCNUCC), du 2 au 13 décembre à Madrid (Espagne) sous le parrainage du Gouvernement chilien. Cet événement parallèle permettra de discuter du rapport spécial du GIEC et de sa portée en termes de mesures d’adaptation des petits États insulaires, États côtiers et régions de faible élévation ACP.</w:t>
      </w:r>
    </w:p>
    <w:p w:rsidR="008D5493" w:rsidRPr="00555D42" w:rsidRDefault="008D5493" w:rsidP="0079474B">
      <w:pPr>
        <w:jc w:val="both"/>
      </w:pPr>
    </w:p>
    <w:p w:rsidR="006B2FC9" w:rsidRPr="005C0E10" w:rsidRDefault="008D5493" w:rsidP="0079474B">
      <w:pPr>
        <w:jc w:val="both"/>
        <w:rPr>
          <w:rFonts w:eastAsia="Times New Roman"/>
        </w:rPr>
      </w:pPr>
      <w:r>
        <w:rPr>
          <w:b/>
          <w:bCs/>
        </w:rPr>
        <w:t>L’événement parallèle se tiendra le 4 décembre 2019 de13h45 à 14h45</w:t>
      </w:r>
      <w:r>
        <w:t xml:space="preserve"> au </w:t>
      </w:r>
      <w:r>
        <w:rPr>
          <w:b/>
          <w:bCs/>
        </w:rPr>
        <w:t>Pavillon Moana Blue Pacific</w:t>
      </w:r>
      <w:r>
        <w:t>, mis en place en partenariat avec les gouvernements de Nouvelle-Zélande et de Fiji, avec l’appui du PROE et de One CROP Plus.</w:t>
      </w:r>
    </w:p>
    <w:p w:rsidR="0079474B" w:rsidRPr="00555D42" w:rsidRDefault="0079474B" w:rsidP="0079474B">
      <w:pPr>
        <w:jc w:val="both"/>
        <w:rPr>
          <w:rFonts w:eastAsia="Times New Roman"/>
        </w:rPr>
      </w:pPr>
    </w:p>
    <w:p w:rsidR="0079474B" w:rsidRPr="00555D42" w:rsidRDefault="0079474B" w:rsidP="0079474B">
      <w:pPr>
        <w:jc w:val="both"/>
        <w:rPr>
          <w:rFonts w:cs="Calibri"/>
          <w:sz w:val="8"/>
          <w:szCs w:val="8"/>
        </w:rPr>
      </w:pPr>
    </w:p>
    <w:p w:rsidR="006B2FC9" w:rsidRPr="00B26CF0" w:rsidRDefault="006B2FC9" w:rsidP="006B2FC9">
      <w:pPr>
        <w:pStyle w:val="Heading1"/>
        <w:spacing w:before="0" w:after="0"/>
      </w:pPr>
      <w:r>
        <w:rPr>
          <w:color w:val="44546A" w:themeColor="text2"/>
        </w:rPr>
        <w:t>Objectifs</w:t>
      </w:r>
    </w:p>
    <w:p w:rsidR="006B2FC9" w:rsidRPr="00555D42" w:rsidRDefault="006B2FC9" w:rsidP="006B2FC9">
      <w:pPr>
        <w:autoSpaceDE w:val="0"/>
        <w:autoSpaceDN w:val="0"/>
        <w:adjustRightInd w:val="0"/>
        <w:jc w:val="both"/>
        <w:rPr>
          <w:rFonts w:cs="Calibri"/>
          <w:sz w:val="8"/>
          <w:szCs w:val="8"/>
        </w:rPr>
      </w:pPr>
    </w:p>
    <w:p w:rsidR="000646AD" w:rsidRDefault="00C93DAE" w:rsidP="000646AD">
      <w:pPr>
        <w:autoSpaceDE w:val="0"/>
        <w:autoSpaceDN w:val="0"/>
        <w:adjustRightInd w:val="0"/>
        <w:jc w:val="both"/>
        <w:rPr>
          <w:rFonts w:cs="Calibri"/>
        </w:rPr>
      </w:pPr>
      <w:r>
        <w:t>Cet événement parallèle permettra de :</w:t>
      </w:r>
    </w:p>
    <w:p w:rsidR="000646AD" w:rsidRPr="00555D42" w:rsidRDefault="000646AD" w:rsidP="000646AD">
      <w:pPr>
        <w:autoSpaceDE w:val="0"/>
        <w:autoSpaceDN w:val="0"/>
        <w:adjustRightInd w:val="0"/>
        <w:jc w:val="both"/>
        <w:rPr>
          <w:rFonts w:cs="Calibri"/>
        </w:rPr>
      </w:pPr>
    </w:p>
    <w:p w:rsidR="00C93DAE" w:rsidRPr="00962796" w:rsidRDefault="0079474B" w:rsidP="000646AD">
      <w:pPr>
        <w:pStyle w:val="ListParagraph"/>
        <w:numPr>
          <w:ilvl w:val="0"/>
          <w:numId w:val="2"/>
        </w:numPr>
        <w:spacing w:after="0" w:line="240" w:lineRule="auto"/>
        <w:ind w:left="648"/>
        <w:contextualSpacing w:val="0"/>
        <w:jc w:val="both"/>
        <w:rPr>
          <w:rFonts w:cs="Calibri"/>
          <w:sz w:val="24"/>
          <w:szCs w:val="24"/>
        </w:rPr>
      </w:pPr>
      <w:r>
        <w:rPr>
          <w:sz w:val="24"/>
          <w:szCs w:val="24"/>
        </w:rPr>
        <w:t>discuter des résultats du rapport du GIEC ;</w:t>
      </w:r>
    </w:p>
    <w:p w:rsidR="006B2FC9" w:rsidRPr="00962796" w:rsidRDefault="00A12DBF" w:rsidP="00671A9E">
      <w:pPr>
        <w:pStyle w:val="ListParagraph"/>
        <w:numPr>
          <w:ilvl w:val="0"/>
          <w:numId w:val="2"/>
        </w:numPr>
        <w:spacing w:after="0" w:line="240" w:lineRule="auto"/>
        <w:ind w:left="648"/>
        <w:contextualSpacing w:val="0"/>
        <w:jc w:val="both"/>
        <w:rPr>
          <w:rFonts w:cs="Calibri"/>
          <w:sz w:val="24"/>
          <w:szCs w:val="24"/>
        </w:rPr>
      </w:pPr>
      <w:r>
        <w:rPr>
          <w:sz w:val="24"/>
          <w:szCs w:val="24"/>
        </w:rPr>
        <w:t>partager les expériences acquises sur le terrain par les États insulaires, États côtiers et régions de faible élévation ACP ;</w:t>
      </w:r>
    </w:p>
    <w:p w:rsidR="00671A9E" w:rsidRPr="00962796" w:rsidRDefault="00671A9E" w:rsidP="00671A9E">
      <w:pPr>
        <w:pStyle w:val="ListParagraph"/>
        <w:numPr>
          <w:ilvl w:val="0"/>
          <w:numId w:val="2"/>
        </w:numPr>
        <w:spacing w:after="0" w:line="240" w:lineRule="auto"/>
        <w:ind w:left="648"/>
        <w:contextualSpacing w:val="0"/>
        <w:jc w:val="both"/>
        <w:rPr>
          <w:rFonts w:cs="Calibri"/>
          <w:sz w:val="24"/>
          <w:szCs w:val="24"/>
        </w:rPr>
      </w:pPr>
      <w:r>
        <w:rPr>
          <w:sz w:val="24"/>
          <w:szCs w:val="24"/>
        </w:rPr>
        <w:t>présenter des mesures d’adaptation mise en place ou prévues dans les pays ACP.</w:t>
      </w:r>
    </w:p>
    <w:p w:rsidR="00671A9E" w:rsidRDefault="00671A9E" w:rsidP="006B2FC9">
      <w:pPr>
        <w:pStyle w:val="Heading1"/>
        <w:spacing w:before="0" w:after="0"/>
        <w:rPr>
          <w:color w:val="44546A" w:themeColor="text2"/>
        </w:rPr>
      </w:pPr>
    </w:p>
    <w:p w:rsidR="006B2FC9" w:rsidRDefault="006B2FC9" w:rsidP="006B2FC9">
      <w:pPr>
        <w:pStyle w:val="Heading1"/>
        <w:spacing w:before="0" w:after="0"/>
        <w:rPr>
          <w:color w:val="44546A" w:themeColor="text2"/>
        </w:rPr>
      </w:pPr>
      <w:r>
        <w:rPr>
          <w:color w:val="44546A" w:themeColor="text2"/>
        </w:rPr>
        <w:t>Organisation et participants</w:t>
      </w:r>
    </w:p>
    <w:p w:rsidR="001467F7" w:rsidRPr="00555D42" w:rsidRDefault="001467F7" w:rsidP="00F93C60">
      <w:pPr>
        <w:jc w:val="both"/>
        <w:rPr>
          <w:lang w:eastAsia="x-none"/>
        </w:rPr>
      </w:pPr>
    </w:p>
    <w:p w:rsidR="001467F7" w:rsidRPr="005C0E10" w:rsidRDefault="001467F7" w:rsidP="001467F7">
      <w:pPr>
        <w:jc w:val="both"/>
      </w:pPr>
      <w:r>
        <w:t>L’événement parallèle se tiendra au Pavillon Moana Blue Pacific, en partenariat avec la Communauté du Pacifique (SPC) (à confirmer). Y participera l’une des auteurs du rapport du GIEC, le professeur Elisabeth Holland de l’Université du Pacifique Sud (USP), une des organisations régionales chargées de mettre en œuvre le programme intra-ACP de l’AMCC+ dans le Pacifique.</w:t>
      </w:r>
    </w:p>
    <w:p w:rsidR="007F258C" w:rsidRPr="005C0E10" w:rsidRDefault="007F258C" w:rsidP="008309A2">
      <w:pPr>
        <w:tabs>
          <w:tab w:val="left" w:pos="2050"/>
          <w:tab w:val="center" w:pos="4666"/>
        </w:tabs>
        <w:jc w:val="both"/>
      </w:pPr>
      <w:r>
        <w:t>Une allocution de bienvenue sera prononcée par le Président de la session, M. Olusola Ojo, Chef de la délégation du Secrétariat du Groupe des États d’Afrique, des Caraïbes et du Pacifique à la COP 25.</w:t>
      </w:r>
    </w:p>
    <w:p w:rsidR="008309A2" w:rsidRPr="005C0E10" w:rsidRDefault="007F258C" w:rsidP="008309A2">
      <w:pPr>
        <w:tabs>
          <w:tab w:val="left" w:pos="2050"/>
          <w:tab w:val="center" w:pos="4666"/>
        </w:tabs>
        <w:jc w:val="both"/>
      </w:pPr>
      <w:r>
        <w:t>Des remarques liminaires seront présentées par un représentant de la Communauté du Pacifique (SPC) (à confirmer).</w:t>
      </w:r>
    </w:p>
    <w:p w:rsidR="007F258C" w:rsidRPr="00555D42" w:rsidRDefault="007F258C" w:rsidP="008309A2">
      <w:pPr>
        <w:tabs>
          <w:tab w:val="left" w:pos="2050"/>
          <w:tab w:val="center" w:pos="4666"/>
        </w:tabs>
        <w:jc w:val="both"/>
      </w:pPr>
    </w:p>
    <w:p w:rsidR="00962796" w:rsidRPr="005C0E10" w:rsidRDefault="008309A2" w:rsidP="00962796">
      <w:pPr>
        <w:tabs>
          <w:tab w:val="left" w:pos="2050"/>
          <w:tab w:val="center" w:pos="4666"/>
        </w:tabs>
        <w:jc w:val="both"/>
      </w:pPr>
      <w:r>
        <w:t>Le professeur Elisabeth Holland, de la Chaire de recherche sur les océans et le changement climatique, présentera un état des lieux, ainsi que les résultats du rapport et les perspectives.</w:t>
      </w:r>
    </w:p>
    <w:p w:rsidR="008309A2" w:rsidRPr="005C0E10" w:rsidRDefault="008309A2" w:rsidP="008309A2">
      <w:pPr>
        <w:tabs>
          <w:tab w:val="left" w:pos="2050"/>
          <w:tab w:val="center" w:pos="4666"/>
        </w:tabs>
        <w:jc w:val="both"/>
      </w:pPr>
      <w:r>
        <w:t>D’autres co-auteurs du rapport présenteront les incidences sur les États insulaires, États côtiers et régions de faible élévation ACP.</w:t>
      </w:r>
    </w:p>
    <w:p w:rsidR="008309A2" w:rsidRPr="005C0E10" w:rsidRDefault="0015468E" w:rsidP="008309A2">
      <w:pPr>
        <w:tabs>
          <w:tab w:val="left" w:pos="2050"/>
          <w:tab w:val="center" w:pos="4666"/>
        </w:tabs>
        <w:jc w:val="both"/>
        <w:rPr>
          <w:rStyle w:val="st"/>
        </w:rPr>
      </w:pPr>
      <w:r>
        <w:t xml:space="preserve">Les représentants des pays ACP </w:t>
      </w:r>
      <w:r>
        <w:rPr>
          <w:rStyle w:val="st"/>
        </w:rPr>
        <w:t>fourniront des exemples concrets de mesures d’adaptation adoptées dans le Pacifique.</w:t>
      </w:r>
    </w:p>
    <w:p w:rsidR="008309A2" w:rsidRPr="00555D42" w:rsidRDefault="008309A2" w:rsidP="008309A2">
      <w:pPr>
        <w:tabs>
          <w:tab w:val="left" w:pos="2050"/>
          <w:tab w:val="center" w:pos="4666"/>
        </w:tabs>
        <w:jc w:val="both"/>
      </w:pPr>
    </w:p>
    <w:p w:rsidR="00962796" w:rsidRDefault="00962796" w:rsidP="00962796">
      <w:pPr>
        <w:jc w:val="both"/>
      </w:pPr>
      <w:r>
        <w:t>Un débat libre suivra, permettant aux participants de fournir des contributions supplémentaires. Les représentants des groupes de négociation de la Convention-cadre des Nations Unies sur les changements climatiques (CCNUCC), des régions ACP, des partenaires, des acteurs non étatiques et du grand public seront invités à prendre part à la discussion. Le Docteur Maro officiera comme modératrice. Le Secrétariat ACP aura la charge de conclure le débat.</w:t>
      </w:r>
    </w:p>
    <w:p w:rsidR="005C0E10" w:rsidRPr="00555D42" w:rsidRDefault="005C0E10" w:rsidP="00962796">
      <w:pPr>
        <w:jc w:val="both"/>
      </w:pPr>
    </w:p>
    <w:p w:rsidR="005C0E10" w:rsidRPr="00555D42" w:rsidRDefault="005C0E10" w:rsidP="00962796">
      <w:pPr>
        <w:jc w:val="both"/>
      </w:pPr>
    </w:p>
    <w:p w:rsidR="008309A2" w:rsidRPr="00555D42" w:rsidRDefault="008309A2" w:rsidP="008309A2">
      <w:pPr>
        <w:jc w:val="both"/>
      </w:pPr>
    </w:p>
    <w:p w:rsidR="008309A2" w:rsidRPr="008309A2" w:rsidRDefault="008309A2" w:rsidP="008309A2">
      <w:pPr>
        <w:pStyle w:val="Heading1"/>
        <w:spacing w:before="0" w:after="0"/>
        <w:jc w:val="center"/>
        <w:rPr>
          <w:color w:val="44546A" w:themeColor="text2"/>
          <w:sz w:val="28"/>
          <w:szCs w:val="24"/>
        </w:rPr>
      </w:pPr>
      <w:r>
        <w:rPr>
          <w:color w:val="44546A" w:themeColor="text2"/>
          <w:sz w:val="28"/>
          <w:szCs w:val="24"/>
        </w:rPr>
        <w:t>Projet d'ordre du jour</w:t>
      </w:r>
    </w:p>
    <w:p w:rsidR="00962796" w:rsidRDefault="00962796" w:rsidP="00F93C60">
      <w:pPr>
        <w:jc w:val="both"/>
        <w:rPr>
          <w:lang w:eastAsia="x-none"/>
        </w:rPr>
      </w:pPr>
    </w:p>
    <w:tbl>
      <w:tblPr>
        <w:tblW w:w="0" w:type="auto"/>
        <w:tblLook w:val="04A0" w:firstRow="1" w:lastRow="0" w:firstColumn="1" w:lastColumn="0" w:noHBand="0" w:noVBand="1"/>
      </w:tblPr>
      <w:tblGrid>
        <w:gridCol w:w="1129"/>
        <w:gridCol w:w="8193"/>
      </w:tblGrid>
      <w:tr w:rsidR="008309A2" w:rsidRPr="00385846" w:rsidTr="005973C8">
        <w:tc>
          <w:tcPr>
            <w:tcW w:w="1129" w:type="dxa"/>
            <w:shd w:val="clear" w:color="auto" w:fill="auto"/>
          </w:tcPr>
          <w:p w:rsidR="008309A2" w:rsidRPr="008309A2" w:rsidRDefault="008309A2" w:rsidP="005973C8">
            <w:pPr>
              <w:rPr>
                <w:color w:val="44546A" w:themeColor="text2"/>
              </w:rPr>
            </w:pPr>
            <w:r>
              <w:rPr>
                <w:color w:val="44546A" w:themeColor="text2"/>
              </w:rPr>
              <w:t>5 min.</w:t>
            </w:r>
          </w:p>
        </w:tc>
        <w:tc>
          <w:tcPr>
            <w:tcW w:w="8193" w:type="dxa"/>
            <w:shd w:val="clear" w:color="auto" w:fill="auto"/>
          </w:tcPr>
          <w:p w:rsidR="008309A2" w:rsidRPr="008309A2" w:rsidRDefault="008309A2" w:rsidP="008309A2">
            <w:pPr>
              <w:jc w:val="both"/>
              <w:rPr>
                <w:rFonts w:eastAsia="MS Mincho" w:cs="Calibri"/>
                <w:color w:val="44546A" w:themeColor="text2"/>
              </w:rPr>
            </w:pPr>
            <w:r>
              <w:rPr>
                <w:b/>
                <w:color w:val="44546A" w:themeColor="text2"/>
                <w:u w:val="single"/>
              </w:rPr>
              <w:t>Président </w:t>
            </w:r>
            <w:r>
              <w:rPr>
                <w:b/>
                <w:color w:val="44546A" w:themeColor="text2"/>
              </w:rPr>
              <w:t>:</w:t>
            </w:r>
            <w:r>
              <w:rPr>
                <w:color w:val="44546A" w:themeColor="text2"/>
              </w:rPr>
              <w:t xml:space="preserve"> </w:t>
            </w:r>
            <w:r>
              <w:rPr>
                <w:b/>
                <w:color w:val="44546A" w:themeColor="text2"/>
              </w:rPr>
              <w:t>M. Olusola Ojo</w:t>
            </w:r>
            <w:r>
              <w:rPr>
                <w:color w:val="44546A" w:themeColor="text2"/>
              </w:rPr>
              <w:t>, Chef de la délégation du Secrétariat du Groupe des États d’Afrique, des Caraïbes et du Pacifique à la COP 25</w:t>
            </w:r>
          </w:p>
          <w:p w:rsidR="008309A2" w:rsidRPr="00555D42" w:rsidRDefault="008309A2" w:rsidP="005973C8">
            <w:pPr>
              <w:autoSpaceDE w:val="0"/>
              <w:autoSpaceDN w:val="0"/>
              <w:adjustRightInd w:val="0"/>
              <w:jc w:val="both"/>
              <w:rPr>
                <w:rFonts w:cs="Calibri"/>
                <w:color w:val="44546A" w:themeColor="text2"/>
              </w:rPr>
            </w:pPr>
          </w:p>
        </w:tc>
      </w:tr>
      <w:tr w:rsidR="008309A2" w:rsidRPr="00385846" w:rsidTr="005973C8">
        <w:tc>
          <w:tcPr>
            <w:tcW w:w="1129" w:type="dxa"/>
            <w:shd w:val="clear" w:color="auto" w:fill="auto"/>
          </w:tcPr>
          <w:p w:rsidR="008309A2" w:rsidRPr="008309A2" w:rsidRDefault="008309A2" w:rsidP="005973C8">
            <w:pPr>
              <w:rPr>
                <w:color w:val="44546A" w:themeColor="text2"/>
              </w:rPr>
            </w:pPr>
            <w:r>
              <w:rPr>
                <w:color w:val="44546A" w:themeColor="text2"/>
              </w:rPr>
              <w:t>5 min.</w:t>
            </w:r>
          </w:p>
        </w:tc>
        <w:tc>
          <w:tcPr>
            <w:tcW w:w="8193" w:type="dxa"/>
            <w:shd w:val="clear" w:color="auto" w:fill="auto"/>
          </w:tcPr>
          <w:p w:rsidR="008309A2" w:rsidRPr="005C0E10" w:rsidRDefault="00FA5E32">
            <w:pPr>
              <w:spacing w:after="120"/>
              <w:jc w:val="both"/>
              <w:rPr>
                <w:rFonts w:eastAsia="MS Mincho" w:cs="Calibri"/>
                <w:color w:val="44546A" w:themeColor="text2"/>
              </w:rPr>
            </w:pPr>
            <w:r>
              <w:rPr>
                <w:b/>
                <w:color w:val="44546A" w:themeColor="text2"/>
              </w:rPr>
              <w:t>Remarques liminaires par un représentant de la Communauté du Pacifique (SPC).</w:t>
            </w:r>
          </w:p>
        </w:tc>
      </w:tr>
      <w:tr w:rsidR="008309A2" w:rsidRPr="00385846" w:rsidTr="005973C8">
        <w:tc>
          <w:tcPr>
            <w:tcW w:w="1129" w:type="dxa"/>
            <w:shd w:val="clear" w:color="auto" w:fill="auto"/>
          </w:tcPr>
          <w:p w:rsidR="008309A2" w:rsidRPr="008309A2" w:rsidRDefault="008309A2" w:rsidP="005973C8">
            <w:pPr>
              <w:ind w:right="176"/>
              <w:rPr>
                <w:rFonts w:eastAsia="MS Mincho" w:cs="Calibri"/>
                <w:color w:val="44546A" w:themeColor="text2"/>
              </w:rPr>
            </w:pPr>
            <w:r>
              <w:rPr>
                <w:color w:val="44546A" w:themeColor="text2"/>
              </w:rPr>
              <w:t>10 min.</w:t>
            </w:r>
          </w:p>
          <w:p w:rsidR="008309A2" w:rsidRPr="008309A2" w:rsidRDefault="008309A2" w:rsidP="005973C8">
            <w:pPr>
              <w:autoSpaceDE w:val="0"/>
              <w:autoSpaceDN w:val="0"/>
              <w:adjustRightInd w:val="0"/>
              <w:jc w:val="both"/>
              <w:rPr>
                <w:rFonts w:cs="Calibri"/>
                <w:color w:val="44546A" w:themeColor="text2"/>
              </w:rPr>
            </w:pPr>
          </w:p>
        </w:tc>
        <w:tc>
          <w:tcPr>
            <w:tcW w:w="8193" w:type="dxa"/>
            <w:shd w:val="clear" w:color="auto" w:fill="auto"/>
          </w:tcPr>
          <w:p w:rsidR="00186E17" w:rsidRPr="005C0E10" w:rsidRDefault="00186E17" w:rsidP="00186E17">
            <w:pPr>
              <w:autoSpaceDE w:val="0"/>
              <w:autoSpaceDN w:val="0"/>
              <w:adjustRightInd w:val="0"/>
              <w:jc w:val="both"/>
              <w:rPr>
                <w:rFonts w:eastAsia="MS Mincho" w:cs="Calibri"/>
                <w:b/>
                <w:color w:val="44546A" w:themeColor="text2"/>
              </w:rPr>
            </w:pPr>
            <w:r>
              <w:rPr>
                <w:b/>
                <w:color w:val="44546A" w:themeColor="text2"/>
              </w:rPr>
              <w:t>Professeur Holland, Chaire de recherche sur les océans et le changement climatique, Université du Pacifique Sud (USP)</w:t>
            </w:r>
          </w:p>
          <w:p w:rsidR="00186E17" w:rsidRPr="005C0E10" w:rsidRDefault="00186E17" w:rsidP="00186E17">
            <w:pPr>
              <w:autoSpaceDE w:val="0"/>
              <w:autoSpaceDN w:val="0"/>
              <w:adjustRightInd w:val="0"/>
              <w:jc w:val="both"/>
              <w:rPr>
                <w:rFonts w:eastAsia="MS Mincho" w:cs="Calibri"/>
                <w:i/>
                <w:color w:val="44546A" w:themeColor="text2"/>
              </w:rPr>
            </w:pPr>
            <w:r>
              <w:rPr>
                <w:i/>
                <w:color w:val="44546A" w:themeColor="text2"/>
              </w:rPr>
              <w:t>Introduction : Résultats du rapport et perspectives</w:t>
            </w:r>
          </w:p>
          <w:p w:rsidR="008309A2" w:rsidRPr="00555D42" w:rsidRDefault="008309A2" w:rsidP="005C0E10">
            <w:pPr>
              <w:jc w:val="both"/>
              <w:rPr>
                <w:rFonts w:cs="Calibri"/>
                <w:color w:val="44546A" w:themeColor="text2"/>
              </w:rPr>
            </w:pPr>
          </w:p>
        </w:tc>
      </w:tr>
      <w:tr w:rsidR="008309A2" w:rsidRPr="00385846" w:rsidTr="005973C8">
        <w:tc>
          <w:tcPr>
            <w:tcW w:w="1129" w:type="dxa"/>
            <w:shd w:val="clear" w:color="auto" w:fill="auto"/>
          </w:tcPr>
          <w:p w:rsidR="008309A2" w:rsidRPr="008309A2" w:rsidRDefault="008309A2" w:rsidP="005973C8">
            <w:pPr>
              <w:ind w:right="176"/>
              <w:rPr>
                <w:rFonts w:eastAsia="MS Mincho" w:cs="Calibri"/>
                <w:color w:val="44546A" w:themeColor="text2"/>
              </w:rPr>
            </w:pPr>
            <w:r>
              <w:rPr>
                <w:color w:val="44546A" w:themeColor="text2"/>
              </w:rPr>
              <w:t>10 min.</w:t>
            </w:r>
          </w:p>
          <w:p w:rsidR="008309A2" w:rsidRPr="008309A2" w:rsidRDefault="008309A2" w:rsidP="005973C8">
            <w:pPr>
              <w:autoSpaceDE w:val="0"/>
              <w:autoSpaceDN w:val="0"/>
              <w:adjustRightInd w:val="0"/>
              <w:jc w:val="both"/>
              <w:rPr>
                <w:rFonts w:eastAsia="MS Mincho" w:cs="Calibri"/>
                <w:b/>
                <w:color w:val="44546A" w:themeColor="text2"/>
                <w:lang w:val="en-US" w:eastAsia="ja-JP"/>
              </w:rPr>
            </w:pPr>
          </w:p>
        </w:tc>
        <w:tc>
          <w:tcPr>
            <w:tcW w:w="8193" w:type="dxa"/>
            <w:shd w:val="clear" w:color="auto" w:fill="auto"/>
          </w:tcPr>
          <w:p w:rsidR="00186E17" w:rsidRPr="00186E17" w:rsidRDefault="00555D42" w:rsidP="00186E17">
            <w:pPr>
              <w:jc w:val="both"/>
              <w:rPr>
                <w:rFonts w:eastAsia="MS Mincho" w:cs="Calibri"/>
                <w:b/>
                <w:color w:val="44546A" w:themeColor="text2"/>
              </w:rPr>
            </w:pPr>
            <w:r>
              <w:rPr>
                <w:b/>
                <w:color w:val="44546A" w:themeColor="text2"/>
              </w:rPr>
              <w:t>Représentant des Caraïbes</w:t>
            </w:r>
          </w:p>
          <w:p w:rsidR="00186E17" w:rsidRPr="005C0E10" w:rsidRDefault="00186E17" w:rsidP="00186E17">
            <w:pPr>
              <w:jc w:val="both"/>
              <w:rPr>
                <w:rFonts w:eastAsia="MS Mincho" w:cs="Calibri"/>
                <w:i/>
                <w:color w:val="44546A" w:themeColor="text2"/>
              </w:rPr>
            </w:pPr>
            <w:r>
              <w:rPr>
                <w:i/>
                <w:color w:val="44546A" w:themeColor="text2"/>
              </w:rPr>
              <w:t>Exemples concrets de mesures d’adaptation adoptées dans son pays</w:t>
            </w:r>
          </w:p>
          <w:p w:rsidR="008309A2" w:rsidRPr="00555D42" w:rsidRDefault="008309A2" w:rsidP="005973C8">
            <w:pPr>
              <w:rPr>
                <w:rFonts w:eastAsia="MS Mincho" w:cs="Calibri"/>
                <w:i/>
                <w:color w:val="44546A" w:themeColor="text2"/>
                <w:lang w:eastAsia="ja-JP"/>
              </w:rPr>
            </w:pPr>
          </w:p>
        </w:tc>
      </w:tr>
      <w:tr w:rsidR="008309A2" w:rsidRPr="00385846" w:rsidTr="005973C8">
        <w:tc>
          <w:tcPr>
            <w:tcW w:w="1129" w:type="dxa"/>
            <w:shd w:val="clear" w:color="auto" w:fill="auto"/>
          </w:tcPr>
          <w:p w:rsidR="008309A2" w:rsidRPr="008309A2" w:rsidRDefault="00D77F00" w:rsidP="005973C8">
            <w:pPr>
              <w:ind w:right="176"/>
              <w:rPr>
                <w:rFonts w:eastAsia="MS Mincho" w:cs="Calibri"/>
                <w:color w:val="44546A" w:themeColor="text2"/>
              </w:rPr>
            </w:pPr>
            <w:r>
              <w:rPr>
                <w:color w:val="44546A" w:themeColor="text2"/>
              </w:rPr>
              <w:t>10 min.</w:t>
            </w:r>
          </w:p>
          <w:p w:rsidR="008309A2" w:rsidRPr="008309A2" w:rsidRDefault="008309A2" w:rsidP="005973C8">
            <w:pPr>
              <w:autoSpaceDE w:val="0"/>
              <w:autoSpaceDN w:val="0"/>
              <w:adjustRightInd w:val="0"/>
              <w:jc w:val="both"/>
              <w:rPr>
                <w:rFonts w:cs="Calibri"/>
                <w:color w:val="44546A" w:themeColor="text2"/>
              </w:rPr>
            </w:pPr>
          </w:p>
        </w:tc>
        <w:tc>
          <w:tcPr>
            <w:tcW w:w="8193" w:type="dxa"/>
            <w:shd w:val="clear" w:color="auto" w:fill="auto"/>
          </w:tcPr>
          <w:p w:rsidR="008309A2" w:rsidRPr="005C0E10" w:rsidRDefault="00186E17" w:rsidP="008309A2">
            <w:pPr>
              <w:jc w:val="both"/>
              <w:rPr>
                <w:rFonts w:eastAsia="MS Mincho" w:cs="Calibri"/>
                <w:b/>
                <w:color w:val="44546A" w:themeColor="text2"/>
              </w:rPr>
            </w:pPr>
            <w:r>
              <w:rPr>
                <w:b/>
                <w:color w:val="44546A" w:themeColor="text2"/>
              </w:rPr>
              <w:t>Rep</w:t>
            </w:r>
            <w:r w:rsidR="00555D42">
              <w:rPr>
                <w:b/>
                <w:color w:val="44546A" w:themeColor="text2"/>
              </w:rPr>
              <w:t>résentant de la région Afrique</w:t>
            </w:r>
          </w:p>
          <w:p w:rsidR="008309A2" w:rsidRPr="005C0E10" w:rsidRDefault="008309A2" w:rsidP="008309A2">
            <w:pPr>
              <w:jc w:val="both"/>
              <w:rPr>
                <w:rFonts w:eastAsia="MS Mincho" w:cs="Calibri"/>
                <w:i/>
                <w:color w:val="44546A" w:themeColor="text2"/>
              </w:rPr>
            </w:pPr>
            <w:r>
              <w:rPr>
                <w:i/>
                <w:color w:val="44546A" w:themeColor="text2"/>
              </w:rPr>
              <w:t>Exemples concrets de mesures d’adaptation adoptées dans son pays</w:t>
            </w:r>
          </w:p>
          <w:p w:rsidR="008309A2" w:rsidRPr="00555D42" w:rsidRDefault="008309A2" w:rsidP="008309A2">
            <w:pPr>
              <w:jc w:val="both"/>
              <w:rPr>
                <w:rFonts w:eastAsia="MS Mincho" w:cs="Calibri"/>
                <w:b/>
                <w:color w:val="44546A" w:themeColor="text2"/>
                <w:lang w:eastAsia="ja-JP"/>
              </w:rPr>
            </w:pPr>
          </w:p>
        </w:tc>
      </w:tr>
      <w:tr w:rsidR="008309A2" w:rsidRPr="008309A2" w:rsidTr="005973C8">
        <w:tc>
          <w:tcPr>
            <w:tcW w:w="1129" w:type="dxa"/>
            <w:shd w:val="clear" w:color="auto" w:fill="auto"/>
          </w:tcPr>
          <w:p w:rsidR="008309A2" w:rsidRPr="008309A2" w:rsidRDefault="00186E17">
            <w:pPr>
              <w:autoSpaceDE w:val="0"/>
              <w:autoSpaceDN w:val="0"/>
              <w:adjustRightInd w:val="0"/>
              <w:jc w:val="both"/>
              <w:rPr>
                <w:rFonts w:cs="Calibri"/>
                <w:color w:val="44546A" w:themeColor="text2"/>
              </w:rPr>
            </w:pPr>
            <w:r>
              <w:rPr>
                <w:color w:val="44546A" w:themeColor="text2"/>
              </w:rPr>
              <w:t>20 min.</w:t>
            </w:r>
          </w:p>
        </w:tc>
        <w:tc>
          <w:tcPr>
            <w:tcW w:w="8193" w:type="dxa"/>
            <w:shd w:val="clear" w:color="auto" w:fill="auto"/>
          </w:tcPr>
          <w:p w:rsidR="00FA7456" w:rsidRPr="005C0E10" w:rsidRDefault="008309A2" w:rsidP="005973C8">
            <w:pPr>
              <w:autoSpaceDE w:val="0"/>
              <w:autoSpaceDN w:val="0"/>
              <w:adjustRightInd w:val="0"/>
              <w:jc w:val="both"/>
              <w:rPr>
                <w:rFonts w:eastAsia="MS Mincho" w:cs="Calibri"/>
                <w:b/>
                <w:color w:val="44546A" w:themeColor="text2"/>
              </w:rPr>
            </w:pPr>
            <w:r>
              <w:rPr>
                <w:b/>
                <w:color w:val="44546A" w:themeColor="text2"/>
              </w:rPr>
              <w:t>Discussion (y compris avec d’autres co-auteurs du rapport du GIEC (à confirmer))</w:t>
            </w:r>
          </w:p>
          <w:p w:rsidR="008309A2" w:rsidRPr="005C0E10" w:rsidRDefault="00FA7456">
            <w:pPr>
              <w:autoSpaceDE w:val="0"/>
              <w:autoSpaceDN w:val="0"/>
              <w:adjustRightInd w:val="0"/>
              <w:jc w:val="both"/>
              <w:rPr>
                <w:rFonts w:cs="Calibri"/>
                <w:i/>
                <w:color w:val="44546A" w:themeColor="text2"/>
              </w:rPr>
            </w:pPr>
            <w:r>
              <w:rPr>
                <w:i/>
                <w:color w:val="44546A" w:themeColor="text2"/>
              </w:rPr>
              <w:t>Modéré par le Docteur Pendo Maro, Chef d’équipe du programme intra-ACP de l’AMCC+</w:t>
            </w:r>
          </w:p>
        </w:tc>
      </w:tr>
    </w:tbl>
    <w:p w:rsidR="008309A2" w:rsidRPr="00A76AA6" w:rsidRDefault="008309A2" w:rsidP="005C0E10">
      <w:pPr>
        <w:rPr>
          <w:lang w:eastAsia="x-none"/>
        </w:rPr>
      </w:pPr>
    </w:p>
    <w:sectPr w:rsidR="008309A2" w:rsidRPr="00A76AA6" w:rsidSect="00D3619B">
      <w:headerReference w:type="default" r:id="rId8"/>
      <w:footerReference w:type="default" r:id="rId9"/>
      <w:headerReference w:type="first" r:id="rId10"/>
      <w:footerReference w:type="first" r:id="rId11"/>
      <w:pgSz w:w="11900" w:h="16840"/>
      <w:pgMar w:top="3111"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CD2" w:rsidRDefault="00FF1CD2" w:rsidP="0010330A">
      <w:r>
        <w:separator/>
      </w:r>
    </w:p>
  </w:endnote>
  <w:endnote w:type="continuationSeparator" w:id="0">
    <w:p w:rsidR="00FF1CD2" w:rsidRDefault="00FF1CD2" w:rsidP="00103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Pro-Regular">
    <w:charset w:val="00"/>
    <w:family w:val="auto"/>
    <w:pitch w:val="variable"/>
    <w:sig w:usb0="6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30A" w:rsidRDefault="00D3619B" w:rsidP="0010330A">
    <w:pPr>
      <w:pStyle w:val="Footer"/>
      <w:ind w:right="-1134" w:hanging="1134"/>
    </w:pPr>
    <w:r>
      <w:rPr>
        <w:noProof/>
        <w:lang w:val="en-US"/>
      </w:rPr>
      <w:drawing>
        <wp:inline distT="0" distB="0" distL="0" distR="0" wp14:anchorId="48927ACF" wp14:editId="5106EDAA">
          <wp:extent cx="7559040" cy="655296"/>
          <wp:effectExtent l="0" t="0" r="0" b="571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CP18002_IntraACP_A4letter_template_internalprint_basi_header_ENG_footer_internalpages.jpg"/>
                  <pic:cNvPicPr/>
                </pic:nvPicPr>
                <pic:blipFill rotWithShape="1">
                  <a:blip r:embed="rId1">
                    <a:extLst>
                      <a:ext uri="{28A0092B-C50C-407E-A947-70E740481C1C}">
                        <a14:useLocalDpi xmlns:a14="http://schemas.microsoft.com/office/drawing/2010/main" val="0"/>
                      </a:ext>
                    </a:extLst>
                  </a:blip>
                  <a:srcRect t="63248"/>
                  <a:stretch/>
                </pic:blipFill>
                <pic:spPr bwMode="auto">
                  <a:xfrm>
                    <a:off x="0" y="0"/>
                    <a:ext cx="7560000" cy="655379"/>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19B" w:rsidRDefault="0033128E" w:rsidP="00D3619B">
    <w:pPr>
      <w:pStyle w:val="Footer"/>
      <w:tabs>
        <w:tab w:val="clear" w:pos="9638"/>
      </w:tabs>
      <w:ind w:left="-1134" w:right="-1134"/>
    </w:pPr>
    <w:r>
      <w:rPr>
        <w:noProof/>
        <w:lang w:val="en-US"/>
      </w:rPr>
      <w:drawing>
        <wp:inline distT="0" distB="0" distL="0" distR="0" wp14:anchorId="1066097A" wp14:editId="59E57E95">
          <wp:extent cx="7560000" cy="1786395"/>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_ACP18002_IntraACP_SiteAssets_A4Letter_InternalPrint_EN_Foot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7863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CD2" w:rsidRDefault="00FF1CD2" w:rsidP="0010330A">
      <w:r>
        <w:separator/>
      </w:r>
    </w:p>
  </w:footnote>
  <w:footnote w:type="continuationSeparator" w:id="0">
    <w:p w:rsidR="00FF1CD2" w:rsidRDefault="00FF1CD2" w:rsidP="0010330A">
      <w:r>
        <w:continuationSeparator/>
      </w:r>
    </w:p>
  </w:footnote>
  <w:footnote w:id="1">
    <w:p w:rsidR="00803F49" w:rsidRPr="005C0E10" w:rsidRDefault="00803F49">
      <w:pPr>
        <w:pStyle w:val="FootnoteText"/>
        <w:rPr>
          <w:i/>
          <w:iCs/>
        </w:rPr>
      </w:pPr>
      <w:r>
        <w:rPr>
          <w:rStyle w:val="FootnoteReference"/>
        </w:rPr>
        <w:footnoteRef/>
      </w:r>
      <w:r>
        <w:t xml:space="preserve"> </w:t>
      </w:r>
      <w:r>
        <w:rPr>
          <w:i/>
          <w:iCs/>
        </w:rPr>
        <w:t>Document de synthèse ACP sur la conférence du Chili sur le changement climatique (COP25).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30A" w:rsidRDefault="0010330A" w:rsidP="0010330A">
    <w:pPr>
      <w:pStyle w:val="Header"/>
      <w:tabs>
        <w:tab w:val="clear" w:pos="9638"/>
      </w:tabs>
      <w:ind w:left="-1134" w:right="-1134"/>
    </w:pPr>
    <w:r>
      <w:rPr>
        <w:noProof/>
        <w:lang w:val="en-US"/>
      </w:rPr>
      <w:drawing>
        <wp:inline distT="0" distB="0" distL="0" distR="0" wp14:anchorId="7A4C6AEF" wp14:editId="077AC0BC">
          <wp:extent cx="7560000" cy="1783255"/>
          <wp:effectExtent l="0" t="0" r="9525"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P18002_IntraACP_A4letter_template_internalprint_basi_header_ENG_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78325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19B" w:rsidRDefault="00D3619B" w:rsidP="00D3619B">
    <w:pPr>
      <w:pStyle w:val="Header"/>
      <w:ind w:hanging="1134"/>
    </w:pPr>
    <w:r>
      <w:rPr>
        <w:noProof/>
        <w:lang w:val="en-US"/>
      </w:rPr>
      <w:drawing>
        <wp:inline distT="0" distB="0" distL="0" distR="0" wp14:anchorId="467256D7" wp14:editId="38A7DD29">
          <wp:extent cx="7560000" cy="1783335"/>
          <wp:effectExtent l="0" t="0" r="9525"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P18002_IntraACP_A4letter_template_internalprint_basi_header_ENG_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7833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D73E74"/>
    <w:multiLevelType w:val="hybridMultilevel"/>
    <w:tmpl w:val="64766346"/>
    <w:lvl w:ilvl="0" w:tplc="05A4A56A">
      <w:start w:val="1"/>
      <w:numFmt w:val="bullet"/>
      <w:pStyle w:val="MediumGrid1-Accent21"/>
      <w:lvlText w:val=""/>
      <w:lvlJc w:val="left"/>
      <w:pPr>
        <w:ind w:left="644" w:hanging="360"/>
      </w:pPr>
      <w:rPr>
        <w:rFonts w:ascii="Symbol" w:hAnsi="Symbol" w:hint="default"/>
        <w:color w:val="A2502A"/>
      </w:rPr>
    </w:lvl>
    <w:lvl w:ilvl="1" w:tplc="2F367744">
      <w:start w:val="1"/>
      <w:numFmt w:val="bullet"/>
      <w:lvlText w:val="o"/>
      <w:lvlJc w:val="left"/>
      <w:pPr>
        <w:ind w:left="2204" w:hanging="360"/>
      </w:pPr>
      <w:rPr>
        <w:rFonts w:ascii="Courier New" w:hAnsi="Courier New" w:cs="Courier New" w:hint="default"/>
        <w:color w:val="573206"/>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6140303E"/>
    <w:multiLevelType w:val="hybridMultilevel"/>
    <w:tmpl w:val="0E90E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D948F2"/>
    <w:multiLevelType w:val="hybridMultilevel"/>
    <w:tmpl w:val="620CD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30A"/>
    <w:rsid w:val="000431E4"/>
    <w:rsid w:val="00060CFB"/>
    <w:rsid w:val="000646AD"/>
    <w:rsid w:val="0010330A"/>
    <w:rsid w:val="00111D98"/>
    <w:rsid w:val="00133860"/>
    <w:rsid w:val="001467F7"/>
    <w:rsid w:val="0015468E"/>
    <w:rsid w:val="00186E17"/>
    <w:rsid w:val="0019237E"/>
    <w:rsid w:val="001D30FE"/>
    <w:rsid w:val="001D641A"/>
    <w:rsid w:val="001E4B8C"/>
    <w:rsid w:val="001F5318"/>
    <w:rsid w:val="00207733"/>
    <w:rsid w:val="002259AE"/>
    <w:rsid w:val="002C7198"/>
    <w:rsid w:val="002D325D"/>
    <w:rsid w:val="002D79FA"/>
    <w:rsid w:val="00321F9F"/>
    <w:rsid w:val="003256F2"/>
    <w:rsid w:val="0033128E"/>
    <w:rsid w:val="00385846"/>
    <w:rsid w:val="003F1D1C"/>
    <w:rsid w:val="00417ADB"/>
    <w:rsid w:val="00417CDE"/>
    <w:rsid w:val="00424E10"/>
    <w:rsid w:val="00451BA5"/>
    <w:rsid w:val="00466E91"/>
    <w:rsid w:val="004976CE"/>
    <w:rsid w:val="004E040F"/>
    <w:rsid w:val="004E19FE"/>
    <w:rsid w:val="00555D42"/>
    <w:rsid w:val="00555F37"/>
    <w:rsid w:val="00571787"/>
    <w:rsid w:val="00575EC1"/>
    <w:rsid w:val="005C0E10"/>
    <w:rsid w:val="005F5FE9"/>
    <w:rsid w:val="00631C86"/>
    <w:rsid w:val="00647B39"/>
    <w:rsid w:val="00655161"/>
    <w:rsid w:val="00671A9E"/>
    <w:rsid w:val="006A14F9"/>
    <w:rsid w:val="006B2FC9"/>
    <w:rsid w:val="006B7B67"/>
    <w:rsid w:val="006F15DE"/>
    <w:rsid w:val="007870B9"/>
    <w:rsid w:val="0079474B"/>
    <w:rsid w:val="007F258C"/>
    <w:rsid w:val="00803F49"/>
    <w:rsid w:val="008309A2"/>
    <w:rsid w:val="00830BF2"/>
    <w:rsid w:val="008463A9"/>
    <w:rsid w:val="00847BF2"/>
    <w:rsid w:val="00867130"/>
    <w:rsid w:val="008D5493"/>
    <w:rsid w:val="008F3818"/>
    <w:rsid w:val="0092298B"/>
    <w:rsid w:val="00962796"/>
    <w:rsid w:val="009675AE"/>
    <w:rsid w:val="00972EBD"/>
    <w:rsid w:val="00987427"/>
    <w:rsid w:val="009C144B"/>
    <w:rsid w:val="009D387F"/>
    <w:rsid w:val="00A00F06"/>
    <w:rsid w:val="00A12DBF"/>
    <w:rsid w:val="00A15000"/>
    <w:rsid w:val="00A522B6"/>
    <w:rsid w:val="00A725EC"/>
    <w:rsid w:val="00A76AA6"/>
    <w:rsid w:val="00A80B96"/>
    <w:rsid w:val="00B14119"/>
    <w:rsid w:val="00B46000"/>
    <w:rsid w:val="00B73F01"/>
    <w:rsid w:val="00BB2D58"/>
    <w:rsid w:val="00BE6DB3"/>
    <w:rsid w:val="00C0249F"/>
    <w:rsid w:val="00C234D5"/>
    <w:rsid w:val="00C760FB"/>
    <w:rsid w:val="00C93DAE"/>
    <w:rsid w:val="00D3619B"/>
    <w:rsid w:val="00D506D1"/>
    <w:rsid w:val="00D65910"/>
    <w:rsid w:val="00D77F00"/>
    <w:rsid w:val="00D95732"/>
    <w:rsid w:val="00DE5BF2"/>
    <w:rsid w:val="00E02ADF"/>
    <w:rsid w:val="00E23225"/>
    <w:rsid w:val="00E33EA8"/>
    <w:rsid w:val="00E45DD7"/>
    <w:rsid w:val="00E8255B"/>
    <w:rsid w:val="00E97555"/>
    <w:rsid w:val="00EC53E2"/>
    <w:rsid w:val="00F4077F"/>
    <w:rsid w:val="00F75928"/>
    <w:rsid w:val="00F93C60"/>
    <w:rsid w:val="00FA5E32"/>
    <w:rsid w:val="00FA7456"/>
    <w:rsid w:val="00FF1C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ACPHeading 1"/>
    <w:basedOn w:val="Normal"/>
    <w:next w:val="Normal"/>
    <w:link w:val="Heading1Char"/>
    <w:uiPriority w:val="9"/>
    <w:qFormat/>
    <w:rsid w:val="006B2FC9"/>
    <w:pPr>
      <w:keepNext/>
      <w:keepLines/>
      <w:spacing w:before="480" w:after="120"/>
      <w:outlineLvl w:val="0"/>
    </w:pPr>
    <w:rPr>
      <w:rFonts w:ascii="Calibri" w:eastAsia="Times New Roman" w:hAnsi="Calibri" w:cs="Times New Roman"/>
      <w:b/>
      <w:bCs/>
      <w:color w:val="A2502A"/>
      <w:sz w:val="32"/>
      <w:szCs w:val="28"/>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330A"/>
    <w:pPr>
      <w:tabs>
        <w:tab w:val="center" w:pos="4819"/>
        <w:tab w:val="right" w:pos="9638"/>
      </w:tabs>
    </w:pPr>
  </w:style>
  <w:style w:type="character" w:customStyle="1" w:styleId="HeaderChar">
    <w:name w:val="Header Char"/>
    <w:basedOn w:val="DefaultParagraphFont"/>
    <w:link w:val="Header"/>
    <w:uiPriority w:val="99"/>
    <w:rsid w:val="0010330A"/>
  </w:style>
  <w:style w:type="paragraph" w:styleId="Footer">
    <w:name w:val="footer"/>
    <w:basedOn w:val="Normal"/>
    <w:link w:val="FooterChar"/>
    <w:uiPriority w:val="99"/>
    <w:unhideWhenUsed/>
    <w:rsid w:val="0010330A"/>
    <w:pPr>
      <w:tabs>
        <w:tab w:val="center" w:pos="4819"/>
        <w:tab w:val="right" w:pos="9638"/>
      </w:tabs>
    </w:pPr>
  </w:style>
  <w:style w:type="character" w:customStyle="1" w:styleId="FooterChar">
    <w:name w:val="Footer Char"/>
    <w:basedOn w:val="DefaultParagraphFont"/>
    <w:link w:val="Footer"/>
    <w:uiPriority w:val="99"/>
    <w:rsid w:val="0010330A"/>
  </w:style>
  <w:style w:type="paragraph" w:customStyle="1" w:styleId="Paragrafobase">
    <w:name w:val="[Paragrafo base]"/>
    <w:basedOn w:val="Normal"/>
    <w:uiPriority w:val="99"/>
    <w:rsid w:val="0010330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aliases w:val="ACPHeading 1 Char"/>
    <w:basedOn w:val="DefaultParagraphFont"/>
    <w:link w:val="Heading1"/>
    <w:uiPriority w:val="9"/>
    <w:rsid w:val="006B2FC9"/>
    <w:rPr>
      <w:rFonts w:ascii="Calibri" w:eastAsia="Times New Roman" w:hAnsi="Calibri" w:cs="Times New Roman"/>
      <w:b/>
      <w:bCs/>
      <w:color w:val="A2502A"/>
      <w:sz w:val="32"/>
      <w:szCs w:val="28"/>
      <w:lang w:val="fr-FR" w:eastAsia="x-none"/>
    </w:rPr>
  </w:style>
  <w:style w:type="paragraph" w:customStyle="1" w:styleId="MediumGrid1-Accent21">
    <w:name w:val="Medium Grid 1 - Accent 21"/>
    <w:basedOn w:val="Normal"/>
    <w:uiPriority w:val="34"/>
    <w:qFormat/>
    <w:rsid w:val="000646AD"/>
    <w:pPr>
      <w:numPr>
        <w:numId w:val="2"/>
      </w:numPr>
      <w:spacing w:before="120" w:after="120"/>
    </w:pPr>
    <w:rPr>
      <w:rFonts w:ascii="Calibri" w:eastAsia="Calibri" w:hAnsi="Calibri" w:cs="Times New Roman"/>
      <w:sz w:val="22"/>
      <w:szCs w:val="22"/>
    </w:rPr>
  </w:style>
  <w:style w:type="paragraph" w:styleId="ListParagraph">
    <w:name w:val="List Paragraph"/>
    <w:basedOn w:val="Normal"/>
    <w:uiPriority w:val="34"/>
    <w:qFormat/>
    <w:rsid w:val="000646AD"/>
    <w:pPr>
      <w:spacing w:after="160" w:line="259" w:lineRule="auto"/>
      <w:ind w:left="720"/>
      <w:contextualSpacing/>
    </w:pPr>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1D64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41A"/>
    <w:rPr>
      <w:rFonts w:ascii="Segoe UI" w:hAnsi="Segoe UI" w:cs="Segoe UI"/>
      <w:sz w:val="18"/>
      <w:szCs w:val="18"/>
    </w:rPr>
  </w:style>
  <w:style w:type="paragraph" w:styleId="FootnoteText">
    <w:name w:val="footnote text"/>
    <w:basedOn w:val="Normal"/>
    <w:link w:val="FootnoteTextChar"/>
    <w:uiPriority w:val="99"/>
    <w:semiHidden/>
    <w:unhideWhenUsed/>
    <w:rsid w:val="00803F49"/>
    <w:rPr>
      <w:sz w:val="20"/>
      <w:szCs w:val="20"/>
    </w:rPr>
  </w:style>
  <w:style w:type="character" w:customStyle="1" w:styleId="FootnoteTextChar">
    <w:name w:val="Footnote Text Char"/>
    <w:basedOn w:val="DefaultParagraphFont"/>
    <w:link w:val="FootnoteText"/>
    <w:uiPriority w:val="99"/>
    <w:semiHidden/>
    <w:rsid w:val="00803F49"/>
    <w:rPr>
      <w:sz w:val="20"/>
      <w:szCs w:val="20"/>
    </w:rPr>
  </w:style>
  <w:style w:type="character" w:styleId="FootnoteReference">
    <w:name w:val="footnote reference"/>
    <w:basedOn w:val="DefaultParagraphFont"/>
    <w:uiPriority w:val="99"/>
    <w:semiHidden/>
    <w:unhideWhenUsed/>
    <w:rsid w:val="00803F49"/>
    <w:rPr>
      <w:vertAlign w:val="superscript"/>
    </w:rPr>
  </w:style>
  <w:style w:type="character" w:customStyle="1" w:styleId="st">
    <w:name w:val="st"/>
    <w:basedOn w:val="DefaultParagraphFont"/>
    <w:rsid w:val="008309A2"/>
  </w:style>
  <w:style w:type="character" w:styleId="Hyperlink">
    <w:name w:val="Hyperlink"/>
    <w:basedOn w:val="DefaultParagraphFont"/>
    <w:uiPriority w:val="99"/>
    <w:unhideWhenUsed/>
    <w:rsid w:val="00186E17"/>
    <w:rPr>
      <w:color w:val="0563C1" w:themeColor="hyperlink"/>
      <w:u w:val="single"/>
    </w:rPr>
  </w:style>
  <w:style w:type="character" w:styleId="CommentReference">
    <w:name w:val="annotation reference"/>
    <w:basedOn w:val="DefaultParagraphFont"/>
    <w:uiPriority w:val="99"/>
    <w:semiHidden/>
    <w:unhideWhenUsed/>
    <w:rsid w:val="00FA7456"/>
    <w:rPr>
      <w:sz w:val="16"/>
      <w:szCs w:val="16"/>
    </w:rPr>
  </w:style>
  <w:style w:type="paragraph" w:styleId="CommentText">
    <w:name w:val="annotation text"/>
    <w:basedOn w:val="Normal"/>
    <w:link w:val="CommentTextChar"/>
    <w:uiPriority w:val="99"/>
    <w:semiHidden/>
    <w:unhideWhenUsed/>
    <w:rsid w:val="00FA7456"/>
    <w:rPr>
      <w:sz w:val="20"/>
      <w:szCs w:val="20"/>
    </w:rPr>
  </w:style>
  <w:style w:type="character" w:customStyle="1" w:styleId="CommentTextChar">
    <w:name w:val="Comment Text Char"/>
    <w:basedOn w:val="DefaultParagraphFont"/>
    <w:link w:val="CommentText"/>
    <w:uiPriority w:val="99"/>
    <w:semiHidden/>
    <w:rsid w:val="00FA7456"/>
    <w:rPr>
      <w:sz w:val="20"/>
      <w:szCs w:val="20"/>
    </w:rPr>
  </w:style>
  <w:style w:type="paragraph" w:styleId="CommentSubject">
    <w:name w:val="annotation subject"/>
    <w:basedOn w:val="CommentText"/>
    <w:next w:val="CommentText"/>
    <w:link w:val="CommentSubjectChar"/>
    <w:uiPriority w:val="99"/>
    <w:semiHidden/>
    <w:unhideWhenUsed/>
    <w:rsid w:val="00FA7456"/>
    <w:rPr>
      <w:b/>
      <w:bCs/>
    </w:rPr>
  </w:style>
  <w:style w:type="character" w:customStyle="1" w:styleId="CommentSubjectChar">
    <w:name w:val="Comment Subject Char"/>
    <w:basedOn w:val="CommentTextChar"/>
    <w:link w:val="CommentSubject"/>
    <w:uiPriority w:val="99"/>
    <w:semiHidden/>
    <w:rsid w:val="00FA74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8170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E9D6D-5F01-4F63-82AC-BC58999CB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785</Words>
  <Characters>4478</Characters>
  <Application>Microsoft Office Word</Application>
  <DocSecurity>0</DocSecurity>
  <Lines>37</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Dieudonné Nounomo</cp:lastModifiedBy>
  <cp:revision>2</cp:revision>
  <cp:lastPrinted>2019-08-26T15:15:00Z</cp:lastPrinted>
  <dcterms:created xsi:type="dcterms:W3CDTF">2019-11-29T17:34:00Z</dcterms:created>
  <dcterms:modified xsi:type="dcterms:W3CDTF">2019-11-29T17:34:00Z</dcterms:modified>
</cp:coreProperties>
</file>